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94385" cy="1689100"/>
            <wp:effectExtent b="0" l="0" r="0" t="0"/>
            <wp:wrapSquare wrapText="bothSides" distB="0" distT="0" distL="114300" distR="114300"/>
            <wp:docPr descr="sccalogo3" id="1" name="image1.png"/>
            <a:graphic>
              <a:graphicData uri="http://schemas.openxmlformats.org/drawingml/2006/picture">
                <pic:pic>
                  <pic:nvPicPr>
                    <pic:cNvPr descr="sccalogo3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168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Scottish Correspondence Chess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Tournament Entry and Magazine Subscription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843" w:firstLine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form is for entry to SCCA tournaments.</w:t>
      </w:r>
    </w:p>
    <w:p w:rsidR="00000000" w:rsidDel="00000000" w:rsidP="00000000" w:rsidRDefault="00000000" w:rsidRPr="00000000" w14:paraId="00000006">
      <w:pPr>
        <w:ind w:left="1843" w:firstLine="0"/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For membership of the SCCA please use the membership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160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701" w:firstLine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Remember that all membership classes, except Associate, automatically include a</w:t>
      </w:r>
    </w:p>
    <w:p w:rsidR="00000000" w:rsidDel="00000000" w:rsidP="00000000" w:rsidRDefault="00000000" w:rsidRPr="00000000" w14:paraId="00000009">
      <w:pPr>
        <w:ind w:left="1701" w:firstLine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subscription to the quarterly e-magazine which you can download from the SCCA website.</w:t>
      </w:r>
    </w:p>
    <w:p w:rsidR="00000000" w:rsidDel="00000000" w:rsidP="00000000" w:rsidRDefault="00000000" w:rsidRPr="00000000" w14:paraId="0000000A">
      <w:pPr>
        <w:ind w:left="1701" w:firstLine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Please note that printed copies of the magazine were discontinued from 2024.</w:t>
      </w:r>
    </w:p>
    <w:p w:rsidR="00000000" w:rsidDel="00000000" w:rsidP="00000000" w:rsidRDefault="00000000" w:rsidRPr="00000000" w14:paraId="0000000B">
      <w:pPr>
        <w:ind w:left="1701" w:firstLine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</w:t>
      </w:r>
    </w:p>
    <w:tbl>
      <w:tblPr>
        <w:tblStyle w:val="Table1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59"/>
        <w:gridCol w:w="6795"/>
        <w:tblGridChange w:id="0">
          <w:tblGrid>
            <w:gridCol w:w="3059"/>
            <w:gridCol w:w="6795"/>
          </w:tblGrid>
        </w:tblGridChange>
      </w:tblGrid>
      <w:tr>
        <w:trPr>
          <w:cantSplit w:val="1"/>
          <w:trHeight w:val="3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2160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1504"/>
        <w:gridCol w:w="1682"/>
        <w:gridCol w:w="583"/>
        <w:gridCol w:w="1249"/>
        <w:gridCol w:w="1016"/>
        <w:gridCol w:w="469"/>
        <w:gridCol w:w="64"/>
        <w:gridCol w:w="1732"/>
        <w:tblGridChange w:id="0">
          <w:tblGrid>
            <w:gridCol w:w="1555"/>
            <w:gridCol w:w="1504"/>
            <w:gridCol w:w="1682"/>
            <w:gridCol w:w="583"/>
            <w:gridCol w:w="1249"/>
            <w:gridCol w:w="1016"/>
            <w:gridCol w:w="469"/>
            <w:gridCol w:w="64"/>
            <w:gridCol w:w="1732"/>
          </w:tblGrid>
        </w:tblGridChange>
      </w:tblGrid>
      <w:tr>
        <w:trPr>
          <w:cantSplit w:val="1"/>
          <w:tblHeader w:val="0"/>
        </w:trPr>
        <w:tc>
          <w:tcPr>
            <w:gridSpan w:val="9"/>
            <w:tcBorders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pStyle w:val="Heading4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Section 1: Your Playing 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 Playing Mode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Please tick all the methods you are willing and able to play.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Email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Webserver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3C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 Introductory Games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5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16"/>
                <w:szCs w:val="16"/>
                <w:vertAlign w:val="baseline"/>
                <w:rtl w:val="0"/>
              </w:rPr>
              <w:t xml:space="preserve">If you haven’t played here before, would you like 1 or more introductory opponents?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(yes/no)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Style w:val="Heading4"/>
              <w:rPr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16"/>
                <w:szCs w:val="16"/>
                <w:vertAlign w:val="baseline"/>
                <w:rtl w:val="0"/>
              </w:rPr>
              <w:t xml:space="preserve">If you are an experienced player, would you be willing to play introductory games against new or inexperienced members?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(yes/no)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(how many?)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1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Championship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How many?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A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Final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Duration 2 years; 1 section; 1 game/opponent.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jc w:val="right"/>
              <w:rPr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(1 max)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One free entry to any event.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Additional entries to Premier and Open cost £3: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76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Premier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Duration 1 year; 1+ sections; 1 game/opponent.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righ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Open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Duration 1 year; 1+ sections; 2 games/opponent.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righ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93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Other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How many?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9C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Challengers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Entry at any time; any number of matches (2 games per match)</w:t>
              <w:br w:type="textWrapping"/>
              <w:t xml:space="preserve">(minimum of 4 matches required for a medal)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(matches)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All individual events are free to patron, life and annual members.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Teams may be entered by organisers for a fee of £10. No additional fees are required for individual team members.</w:t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A8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International Friendly Matches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Usually 3+ per year; 2 games/opponent.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(matches)</w:t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B2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International Team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Do you wish to represent Scotland if selected?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(yes/no)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Team League Player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If you are not currently a team member but would like to play in the League, please indicate here.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(yes/no)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9"/>
            <w:tcBorders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CF">
            <w:pPr>
              <w:pStyle w:val="Heading4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Section 2: Extras and Total Payable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E1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EA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Printed Magazine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Not available from 2004 onwards.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F4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Donations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We usually just cover our costs, so any extra donations help us to develop new services for our members.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£any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Grand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Please total up all the fees due – remember to multiply the rate by the number of sections you have entered where applicable.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£              </w:t>
            </w:r>
          </w:p>
        </w:tc>
      </w:tr>
      <w:tr>
        <w:trPr>
          <w:cantSplit w:val="1"/>
          <w:tblHeader w:val="0"/>
        </w:trPr>
        <w:tc>
          <w:tcPr>
            <w:gridSpan w:val="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Please make cheques and postal orders payable to the Scottish Correspondence Chess Association.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b w:val="0"/>
                <w:bCs w:val="0"/>
                <w:color w:val="ff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vertAlign w:val="baseline"/>
                <w:rtl w:val="0"/>
              </w:rPr>
              <w:t xml:space="preserve">To pay by bank transfer please refer to Scottish Correspondence Chess Association,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vertAlign w:val="baseline"/>
                <w:rtl w:val="0"/>
              </w:rPr>
              <w:t xml:space="preserve">Sort Code 80-91-28, Account Number 00248355.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Please return your entry form and payment to </w:t>
            </w:r>
            <w:r w:rsidDel="00000000" w:rsidR="00000000" w:rsidRPr="00000000">
              <w:rPr>
                <w:rtl w:val="0"/>
              </w:rPr>
              <w:t xml:space="preserve">Benjamin Major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membership@scottishcca.co.uk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 or 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Postal:</w:t>
            </w:r>
            <w:r w:rsidDel="00000000" w:rsidR="00000000" w:rsidRPr="00000000">
              <w:rPr>
                <w:rtl w:val="0"/>
              </w:rPr>
              <w:t xml:space="preserve"> 39 Hillhead Rd, Kirkintilloch, Glasgow, G66 2HT</w:t>
            </w:r>
            <w:r w:rsidDel="00000000" w:rsidR="00000000" w:rsidRPr="00000000">
              <w:rPr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tl w:val="0"/>
              </w:rPr>
              <w:t xml:space="preserve">07961 238 123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Note that to play in the Scottish Championship Final and/or represent Scotland in ICCF Team events, you need to be registered as Scottish.  Non-Scots resident in Scotland are able to play in our Premier, Open and Challengers events, plus International Friendly Matches.  Scots and non-Scots resident anywhere are able to play in our Team Leagues which are run as ICCF International Events.  See also: at: </w:t>
      </w:r>
      <w:hyperlink r:id="rId9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www.scottishcca.co.uk/policies</w:t>
        </w:r>
      </w:hyperlink>
      <w:r w:rsidDel="00000000" w:rsidR="00000000" w:rsidRPr="00000000">
        <w:rPr>
          <w:vertAlign w:val="baseline"/>
          <w:rtl w:val="0"/>
        </w:rPr>
        <w:t xml:space="preserve"> </w:t>
      </w:r>
    </w:p>
    <w:sectPr>
      <w:pgSz w:h="16838" w:w="11906" w:orient="portrait"/>
      <w:pgMar w:bottom="425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i w:val="1"/>
      <w:iCs w:val="1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bCs w:val="1"/>
      <w:vertAlign w:val="baseline"/>
    </w:rPr>
  </w:style>
  <w:style w:type="paragraph" w:styleId="Heading5">
    <w:name w:val="heading 5"/>
    <w:basedOn w:val="Normal"/>
    <w:next w:val="Normal"/>
    <w:pPr>
      <w:keepNext w:val="1"/>
      <w:jc w:val="right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cottishcca.co.uk/polici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embership@scottishcc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nteu064hPJY/GyBlMQ7JnzEhg==">CgMxLjA4AHIhMXYtNnE4c29oWFNsLTFEVUhVZ2NDYWo0cDB5RHZXZklr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2024-12-01T13:42:00Z</dcterms:created>
  <dc:creator>Iain Mackintosh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